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FEC04" w14:textId="0DA6EA1C" w:rsidR="00454806" w:rsidRPr="00F513EE" w:rsidRDefault="00B949C6" w:rsidP="008E27EC">
      <w:pPr>
        <w:spacing w:after="0"/>
        <w:ind w:hanging="709"/>
        <w:jc w:val="center"/>
        <w:rPr>
          <w:rFonts w:cs="Times New Roman"/>
          <w:b/>
          <w:bCs/>
          <w:szCs w:val="24"/>
          <w:lang w:val="es-MX"/>
        </w:rPr>
      </w:pPr>
      <w:r w:rsidRPr="00FF6333">
        <w:rPr>
          <w:rFonts w:cs="Times New Roman"/>
          <w:b/>
          <w:bCs/>
          <w:szCs w:val="24"/>
          <w:lang w:val="es-MX"/>
        </w:rPr>
        <w:t xml:space="preserve">REFERENCIAS </w:t>
      </w:r>
    </w:p>
    <w:p w14:paraId="07CE1931" w14:textId="77777777" w:rsidR="00454806" w:rsidRPr="00FF6333" w:rsidRDefault="00454806" w:rsidP="008E27EC">
      <w:pPr>
        <w:spacing w:after="0"/>
        <w:ind w:hanging="709"/>
        <w:jc w:val="both"/>
        <w:rPr>
          <w:rFonts w:cs="Times New Roman"/>
          <w:szCs w:val="24"/>
          <w:lang w:val="es-MX"/>
        </w:rPr>
      </w:pPr>
    </w:p>
    <w:p w14:paraId="62EF1C1C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Arranz, T. (2021). </w:t>
      </w:r>
      <w:r w:rsidRPr="009240DA">
        <w:rPr>
          <w:rFonts w:cs="Times New Roman"/>
          <w:i/>
          <w:szCs w:val="24"/>
          <w:lang w:val="es-MX"/>
        </w:rPr>
        <w:t>Esquemas de adquisiciones de empresas</w:t>
      </w:r>
      <w:r w:rsidRPr="009240DA">
        <w:rPr>
          <w:rFonts w:cs="Times New Roman"/>
          <w:szCs w:val="24"/>
          <w:lang w:val="es-MX"/>
        </w:rPr>
        <w:t xml:space="preserve">. Editorial Tirant Lo Blanch. </w:t>
      </w:r>
    </w:p>
    <w:p w14:paraId="7CEA3C42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Becerra, R. (1997). </w:t>
      </w:r>
      <w:r w:rsidRPr="009240DA">
        <w:rPr>
          <w:rFonts w:cs="Times New Roman"/>
          <w:i/>
          <w:szCs w:val="24"/>
          <w:lang w:val="es-MX"/>
        </w:rPr>
        <w:t>Cumplimiento y extinción de las obligaciones civiles</w:t>
      </w:r>
      <w:r w:rsidRPr="009240DA">
        <w:rPr>
          <w:rFonts w:cs="Times New Roman"/>
          <w:szCs w:val="24"/>
          <w:lang w:val="es-MX"/>
        </w:rPr>
        <w:t>. Universidad de San Buenaventura.</w:t>
      </w:r>
    </w:p>
    <w:p w14:paraId="1EF76FCD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Becerra, R. (2013). </w:t>
      </w:r>
      <w:r w:rsidRPr="009240DA">
        <w:rPr>
          <w:rFonts w:cs="Times New Roman"/>
          <w:i/>
          <w:szCs w:val="24"/>
          <w:lang w:val="es-MX"/>
        </w:rPr>
        <w:t>Derecho arbitral doméstico sustantivo y procesal- Nueva legislación Ley 1563 de 2012</w:t>
      </w:r>
      <w:r w:rsidRPr="009240DA">
        <w:rPr>
          <w:rFonts w:cs="Times New Roman"/>
          <w:szCs w:val="24"/>
          <w:lang w:val="es-MX"/>
        </w:rPr>
        <w:t>. Cámara de Comercio de Cali.</w:t>
      </w:r>
    </w:p>
    <w:p w14:paraId="00226210" w14:textId="77777777" w:rsidR="00953AFF" w:rsidRDefault="00953AFF" w:rsidP="00953AFF">
      <w:pPr>
        <w:spacing w:after="0"/>
        <w:ind w:left="709" w:hanging="709"/>
        <w:jc w:val="both"/>
        <w:rPr>
          <w:rFonts w:cs="Times New Roman"/>
          <w:iCs/>
          <w:szCs w:val="24"/>
        </w:rPr>
      </w:pPr>
      <w:r w:rsidRPr="008E27EC">
        <w:rPr>
          <w:rFonts w:cs="Times New Roman"/>
          <w:iCs/>
          <w:szCs w:val="24"/>
        </w:rPr>
        <w:t xml:space="preserve">Cámara de Comercio de Bogotá. (2006). </w:t>
      </w:r>
      <w:r w:rsidRPr="008E27EC">
        <w:rPr>
          <w:rFonts w:cs="Times New Roman"/>
          <w:i/>
          <w:iCs/>
          <w:szCs w:val="24"/>
        </w:rPr>
        <w:t>Laudo arbitral Bancolombia S.A. contra Jaime</w:t>
      </w:r>
      <w:r>
        <w:rPr>
          <w:rFonts w:cs="Times New Roman"/>
          <w:i/>
          <w:iCs/>
          <w:szCs w:val="24"/>
        </w:rPr>
        <w:t xml:space="preserve"> </w:t>
      </w:r>
      <w:proofErr w:type="spellStart"/>
      <w:r w:rsidRPr="008E27EC">
        <w:rPr>
          <w:rFonts w:cs="Times New Roman"/>
          <w:i/>
          <w:iCs/>
          <w:szCs w:val="24"/>
        </w:rPr>
        <w:t>Gilinski</w:t>
      </w:r>
      <w:proofErr w:type="spellEnd"/>
      <w:r w:rsidRPr="008E27EC">
        <w:rPr>
          <w:rFonts w:cs="Times New Roman"/>
          <w:i/>
          <w:iCs/>
          <w:szCs w:val="24"/>
        </w:rPr>
        <w:t xml:space="preserve"> Bacal</w:t>
      </w:r>
      <w:r w:rsidRPr="008E27EC">
        <w:rPr>
          <w:rFonts w:cs="Times New Roman"/>
          <w:iCs/>
          <w:szCs w:val="24"/>
        </w:rPr>
        <w:t>. Recurso digital de la Cámara de Comercio de Bogotá.</w:t>
      </w:r>
    </w:p>
    <w:p w14:paraId="4218B9A8" w14:textId="77777777" w:rsidR="00953AFF" w:rsidRPr="008E27EC" w:rsidRDefault="00953AFF" w:rsidP="00953AFF">
      <w:pPr>
        <w:spacing w:after="0"/>
        <w:jc w:val="both"/>
        <w:rPr>
          <w:rFonts w:cs="Times New Roman"/>
          <w:iCs/>
          <w:szCs w:val="24"/>
        </w:rPr>
      </w:pPr>
      <w:hyperlink r:id="rId5" w:history="1">
        <w:r w:rsidRPr="008E27EC">
          <w:rPr>
            <w:rStyle w:val="Hipervnculo"/>
            <w:rFonts w:cs="Times New Roman"/>
            <w:iCs/>
            <w:color w:val="auto"/>
            <w:szCs w:val="24"/>
          </w:rPr>
          <w:t>https://bibliotecadigital.ccb.org.co/handle/11520/21699</w:t>
        </w:r>
      </w:hyperlink>
    </w:p>
    <w:p w14:paraId="53286B46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Castro, M. (2005). </w:t>
      </w:r>
      <w:r w:rsidRPr="009240DA">
        <w:rPr>
          <w:rFonts w:cs="Times New Roman"/>
          <w:i/>
          <w:szCs w:val="24"/>
          <w:lang w:val="es-MX"/>
        </w:rPr>
        <w:t>El contrato de arbitraje, La cláusula compromisoria por referencia</w:t>
      </w:r>
      <w:r w:rsidRPr="009240DA">
        <w:rPr>
          <w:rFonts w:cs="Times New Roman"/>
          <w:szCs w:val="24"/>
          <w:lang w:val="es-MX"/>
        </w:rPr>
        <w:t>. Universidad del Rosario.</w:t>
      </w:r>
    </w:p>
    <w:p w14:paraId="08A92813" w14:textId="77777777" w:rsidR="00454806" w:rsidRPr="009240DA" w:rsidRDefault="00454806" w:rsidP="008E27EC">
      <w:pPr>
        <w:spacing w:after="0"/>
        <w:ind w:left="709" w:hanging="709"/>
        <w:jc w:val="both"/>
        <w:rPr>
          <w:rFonts w:cs="Times New Roman"/>
          <w:szCs w:val="24"/>
          <w:shd w:val="clear" w:color="auto" w:fill="FFFFFF"/>
        </w:rPr>
      </w:pPr>
      <w:r w:rsidRPr="009240DA">
        <w:rPr>
          <w:rFonts w:cs="Times New Roman"/>
          <w:szCs w:val="24"/>
          <w:shd w:val="clear" w:color="auto" w:fill="FFFFFF"/>
        </w:rPr>
        <w:t>Colombia. (</w:t>
      </w:r>
      <w:r w:rsidR="0061305D" w:rsidRPr="009240DA">
        <w:rPr>
          <w:rFonts w:cs="Times New Roman"/>
          <w:szCs w:val="24"/>
          <w:shd w:val="clear" w:color="auto" w:fill="FFFFFF"/>
        </w:rPr>
        <w:t>2023</w:t>
      </w:r>
      <w:r w:rsidRPr="009240DA">
        <w:rPr>
          <w:rFonts w:cs="Times New Roman"/>
          <w:szCs w:val="24"/>
          <w:shd w:val="clear" w:color="auto" w:fill="FFFFFF"/>
        </w:rPr>
        <w:t xml:space="preserve">). </w:t>
      </w:r>
      <w:r w:rsidRPr="009240DA">
        <w:rPr>
          <w:rFonts w:cs="Times New Roman"/>
          <w:i/>
          <w:szCs w:val="24"/>
          <w:shd w:val="clear" w:color="auto" w:fill="FFFFFF"/>
        </w:rPr>
        <w:t>Constitución Política de Colombia</w:t>
      </w:r>
      <w:r w:rsidR="0061305D" w:rsidRPr="009240DA">
        <w:rPr>
          <w:rFonts w:cs="Times New Roman"/>
          <w:szCs w:val="24"/>
          <w:shd w:val="clear" w:color="auto" w:fill="FFFFFF"/>
        </w:rPr>
        <w:t xml:space="preserve"> (49</w:t>
      </w:r>
      <w:r w:rsidR="0061305D" w:rsidRPr="009240DA">
        <w:rPr>
          <w:rFonts w:cs="Times New Roman"/>
          <w:szCs w:val="24"/>
          <w:lang w:val="es-MX"/>
        </w:rPr>
        <w:t>ª</w:t>
      </w:r>
      <w:r w:rsidR="0061305D" w:rsidRPr="009240DA">
        <w:rPr>
          <w:rFonts w:cs="Times New Roman"/>
          <w:szCs w:val="24"/>
          <w:shd w:val="clear" w:color="auto" w:fill="FFFFFF"/>
        </w:rPr>
        <w:t xml:space="preserve"> ed.). Editorial Legis.</w:t>
      </w:r>
    </w:p>
    <w:p w14:paraId="5C730803" w14:textId="77777777" w:rsidR="00451705" w:rsidRPr="009240DA" w:rsidRDefault="00451705" w:rsidP="008E27EC">
      <w:pPr>
        <w:spacing w:after="0"/>
        <w:ind w:left="709" w:hanging="709"/>
        <w:jc w:val="both"/>
        <w:rPr>
          <w:rFonts w:cs="Times New Roman"/>
          <w:szCs w:val="24"/>
          <w:shd w:val="clear" w:color="auto" w:fill="FFFFFF"/>
        </w:rPr>
      </w:pPr>
      <w:bookmarkStart w:id="0" w:name="_Hlk164694780"/>
      <w:r w:rsidRPr="009240DA">
        <w:rPr>
          <w:rFonts w:cs="Times New Roman"/>
          <w:szCs w:val="24"/>
          <w:shd w:val="clear" w:color="auto" w:fill="FFFFFF"/>
        </w:rPr>
        <w:t>Colombia. (</w:t>
      </w:r>
      <w:r w:rsidR="0061305D" w:rsidRPr="009240DA">
        <w:rPr>
          <w:rFonts w:cs="Times New Roman"/>
          <w:szCs w:val="24"/>
          <w:shd w:val="clear" w:color="auto" w:fill="FFFFFF"/>
        </w:rPr>
        <w:t>2023</w:t>
      </w:r>
      <w:r w:rsidRPr="009240DA">
        <w:rPr>
          <w:rFonts w:cs="Times New Roman"/>
          <w:szCs w:val="24"/>
          <w:shd w:val="clear" w:color="auto" w:fill="FFFFFF"/>
        </w:rPr>
        <w:t xml:space="preserve">). </w:t>
      </w:r>
      <w:r w:rsidRPr="009240DA">
        <w:rPr>
          <w:rFonts w:cs="Times New Roman"/>
          <w:i/>
          <w:szCs w:val="24"/>
          <w:shd w:val="clear" w:color="auto" w:fill="FFFFFF"/>
        </w:rPr>
        <w:t>Código de Comercio</w:t>
      </w:r>
      <w:r w:rsidR="00764363" w:rsidRPr="009240DA">
        <w:rPr>
          <w:rFonts w:cs="Times New Roman"/>
          <w:szCs w:val="24"/>
          <w:shd w:val="clear" w:color="auto" w:fill="FFFFFF"/>
        </w:rPr>
        <w:t xml:space="preserve"> (49</w:t>
      </w:r>
      <w:r w:rsidR="00764363" w:rsidRPr="009240DA">
        <w:rPr>
          <w:rFonts w:cs="Times New Roman"/>
          <w:szCs w:val="24"/>
          <w:lang w:val="es-MX"/>
        </w:rPr>
        <w:t>ª</w:t>
      </w:r>
      <w:r w:rsidR="00764363" w:rsidRPr="009240DA">
        <w:rPr>
          <w:rFonts w:cs="Times New Roman"/>
          <w:szCs w:val="24"/>
          <w:shd w:val="clear" w:color="auto" w:fill="FFFFFF"/>
        </w:rPr>
        <w:t xml:space="preserve"> ed.)</w:t>
      </w:r>
      <w:r w:rsidRPr="009240DA">
        <w:rPr>
          <w:rFonts w:cs="Times New Roman"/>
          <w:szCs w:val="24"/>
          <w:shd w:val="clear" w:color="auto" w:fill="FFFFFF"/>
        </w:rPr>
        <w:t xml:space="preserve">. Editorial Legis. </w:t>
      </w:r>
    </w:p>
    <w:bookmarkEnd w:id="0"/>
    <w:p w14:paraId="44075440" w14:textId="77777777" w:rsidR="00C175DB" w:rsidRPr="009240DA" w:rsidRDefault="008806CC" w:rsidP="008E27EC">
      <w:pPr>
        <w:spacing w:after="0"/>
        <w:ind w:left="709" w:hanging="709"/>
        <w:jc w:val="both"/>
        <w:rPr>
          <w:rFonts w:cs="Times New Roman"/>
          <w:szCs w:val="24"/>
          <w:shd w:val="clear" w:color="auto" w:fill="FFFFFF"/>
        </w:rPr>
      </w:pPr>
      <w:r w:rsidRPr="009240DA">
        <w:rPr>
          <w:rFonts w:cs="Times New Roman"/>
          <w:szCs w:val="24"/>
          <w:shd w:val="clear" w:color="auto" w:fill="FFFFFF"/>
        </w:rPr>
        <w:t>Colombia. (</w:t>
      </w:r>
      <w:r w:rsidR="00764363" w:rsidRPr="009240DA">
        <w:rPr>
          <w:rFonts w:cs="Times New Roman"/>
          <w:szCs w:val="24"/>
          <w:shd w:val="clear" w:color="auto" w:fill="FFFFFF"/>
        </w:rPr>
        <w:t>2024</w:t>
      </w:r>
      <w:r w:rsidRPr="009240DA">
        <w:rPr>
          <w:rFonts w:cs="Times New Roman"/>
          <w:szCs w:val="24"/>
          <w:shd w:val="clear" w:color="auto" w:fill="FFFFFF"/>
        </w:rPr>
        <w:t xml:space="preserve">). </w:t>
      </w:r>
      <w:r w:rsidRPr="009240DA">
        <w:rPr>
          <w:rFonts w:cs="Times New Roman"/>
          <w:i/>
          <w:szCs w:val="24"/>
          <w:shd w:val="clear" w:color="auto" w:fill="FFFFFF"/>
        </w:rPr>
        <w:t>Código Civil</w:t>
      </w:r>
      <w:r w:rsidR="00764363" w:rsidRPr="009240DA">
        <w:rPr>
          <w:rFonts w:cs="Times New Roman"/>
          <w:szCs w:val="24"/>
          <w:shd w:val="clear" w:color="auto" w:fill="FFFFFF"/>
        </w:rPr>
        <w:t xml:space="preserve"> (51</w:t>
      </w:r>
      <w:r w:rsidR="00764363" w:rsidRPr="009240DA">
        <w:rPr>
          <w:rFonts w:cs="Times New Roman"/>
          <w:szCs w:val="24"/>
          <w:lang w:val="es-MX"/>
        </w:rPr>
        <w:t>ª</w:t>
      </w:r>
      <w:r w:rsidR="00764363" w:rsidRPr="009240DA">
        <w:rPr>
          <w:rFonts w:cs="Times New Roman"/>
          <w:szCs w:val="24"/>
          <w:shd w:val="clear" w:color="auto" w:fill="FFFFFF"/>
        </w:rPr>
        <w:t xml:space="preserve"> ed.)</w:t>
      </w:r>
      <w:r w:rsidRPr="009240DA">
        <w:rPr>
          <w:rFonts w:cs="Times New Roman"/>
          <w:szCs w:val="24"/>
          <w:shd w:val="clear" w:color="auto" w:fill="FFFFFF"/>
        </w:rPr>
        <w:t xml:space="preserve">. Editorial Legis. </w:t>
      </w:r>
    </w:p>
    <w:p w14:paraId="125E8441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</w:rPr>
      </w:pPr>
      <w:r w:rsidRPr="009240DA">
        <w:rPr>
          <w:rFonts w:cs="Times New Roman"/>
          <w:szCs w:val="24"/>
        </w:rPr>
        <w:t>Colombia. (1992). Decreto 2153.</w:t>
      </w:r>
    </w:p>
    <w:p w14:paraId="4F0475A6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Colombia. (2023). </w:t>
      </w:r>
      <w:r w:rsidRPr="009240DA">
        <w:rPr>
          <w:rFonts w:cs="Times New Roman"/>
          <w:i/>
          <w:szCs w:val="24"/>
          <w:lang w:val="es-MX"/>
        </w:rPr>
        <w:t>Código del Proceso</w:t>
      </w:r>
      <w:r w:rsidRPr="009240DA">
        <w:rPr>
          <w:rFonts w:cs="Times New Roman"/>
          <w:szCs w:val="24"/>
          <w:lang w:val="es-MX"/>
        </w:rPr>
        <w:t xml:space="preserve"> </w:t>
      </w:r>
      <w:r w:rsidRPr="009240DA">
        <w:rPr>
          <w:rFonts w:cs="Times New Roman"/>
          <w:szCs w:val="24"/>
          <w:shd w:val="clear" w:color="auto" w:fill="FFFFFF"/>
        </w:rPr>
        <w:t>(14</w:t>
      </w:r>
      <w:r w:rsidRPr="009240DA">
        <w:rPr>
          <w:rFonts w:cs="Times New Roman"/>
          <w:szCs w:val="24"/>
          <w:lang w:val="es-MX"/>
        </w:rPr>
        <w:t>ª</w:t>
      </w:r>
      <w:r w:rsidRPr="009240DA">
        <w:rPr>
          <w:rFonts w:cs="Times New Roman"/>
          <w:szCs w:val="24"/>
          <w:shd w:val="clear" w:color="auto" w:fill="FFFFFF"/>
        </w:rPr>
        <w:t xml:space="preserve"> ed.). Editorial Legis</w:t>
      </w:r>
      <w:r w:rsidRPr="009240DA">
        <w:rPr>
          <w:rFonts w:cs="Times New Roman"/>
          <w:szCs w:val="24"/>
          <w:lang w:val="es-MX"/>
        </w:rPr>
        <w:t>.</w:t>
      </w:r>
    </w:p>
    <w:p w14:paraId="7DC2645C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>Consejo de Estado, Sala de Consulta y Servicio Civil. (1996). Concepto del 24 de junio de 1996.</w:t>
      </w:r>
    </w:p>
    <w:p w14:paraId="1B74B736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>Cremades, B. (1990</w:t>
      </w:r>
      <w:r w:rsidRPr="009240DA">
        <w:rPr>
          <w:rFonts w:cs="Times New Roman"/>
          <w:i/>
          <w:szCs w:val="24"/>
          <w:lang w:val="es-MX"/>
        </w:rPr>
        <w:t>). La Responsabilidad de los Árbitros y las Instituciones Arbitrales.</w:t>
      </w:r>
      <w:r w:rsidRPr="009240DA">
        <w:rPr>
          <w:rFonts w:cs="Times New Roman"/>
          <w:szCs w:val="24"/>
          <w:lang w:val="es-MX"/>
        </w:rPr>
        <w:t xml:space="preserve"> Revista de la Corte Española de Arbitraje. </w:t>
      </w:r>
    </w:p>
    <w:p w14:paraId="704FF5D9" w14:textId="77777777" w:rsidR="00953AFF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8E27EC">
        <w:rPr>
          <w:rFonts w:cs="Times New Roman"/>
          <w:szCs w:val="24"/>
          <w:lang w:val="es-MX"/>
        </w:rPr>
        <w:t xml:space="preserve">Gili, M. (2010). </w:t>
      </w:r>
      <w:r w:rsidRPr="008E27EC">
        <w:rPr>
          <w:rFonts w:cs="Times New Roman"/>
          <w:i/>
          <w:szCs w:val="24"/>
          <w:lang w:val="es-MX"/>
        </w:rPr>
        <w:t>Compraventa de acciones: causa del contrato y remedios frente al incumplimiento de las manifestaciones y garantías</w:t>
      </w:r>
      <w:r w:rsidRPr="008E27EC">
        <w:rPr>
          <w:rFonts w:cs="Times New Roman"/>
          <w:szCs w:val="24"/>
          <w:lang w:val="es-MX"/>
        </w:rPr>
        <w:t xml:space="preserve">. Revista para el Análisis del Derecho. </w:t>
      </w:r>
    </w:p>
    <w:p w14:paraId="1C835A5A" w14:textId="762DF19A" w:rsidR="00953AFF" w:rsidRDefault="00953AFF" w:rsidP="008E27EC">
      <w:pPr>
        <w:spacing w:after="0"/>
        <w:ind w:left="709" w:hanging="709"/>
        <w:jc w:val="both"/>
        <w:rPr>
          <w:rFonts w:cs="Times New Roman"/>
          <w:szCs w:val="24"/>
          <w:shd w:val="clear" w:color="auto" w:fill="FFFFFF"/>
        </w:rPr>
      </w:pPr>
      <w:r w:rsidRPr="009240DA">
        <w:rPr>
          <w:rFonts w:cs="Times New Roman"/>
          <w:szCs w:val="24"/>
          <w:lang w:val="es-MX"/>
        </w:rPr>
        <w:t xml:space="preserve">González, F. (2011). </w:t>
      </w:r>
      <w:r w:rsidRPr="009240DA">
        <w:rPr>
          <w:rFonts w:cs="Times New Roman"/>
          <w:i/>
          <w:szCs w:val="24"/>
          <w:lang w:val="es-MX"/>
        </w:rPr>
        <w:t>Arbitraje</w:t>
      </w:r>
      <w:r w:rsidRPr="009240DA">
        <w:rPr>
          <w:rFonts w:cs="Times New Roman"/>
          <w:szCs w:val="24"/>
          <w:lang w:val="es-MX"/>
        </w:rPr>
        <w:t>. Editorial Porrúa</w:t>
      </w:r>
      <w:r>
        <w:rPr>
          <w:rFonts w:cs="Times New Roman"/>
          <w:szCs w:val="24"/>
          <w:lang w:val="es-MX"/>
        </w:rPr>
        <w:t>.</w:t>
      </w:r>
      <w:r w:rsidRPr="009240DA">
        <w:rPr>
          <w:rFonts w:cs="Times New Roman"/>
          <w:szCs w:val="24"/>
          <w:shd w:val="clear" w:color="auto" w:fill="FFFFFF"/>
        </w:rPr>
        <w:t xml:space="preserve"> </w:t>
      </w:r>
    </w:p>
    <w:p w14:paraId="441BB80A" w14:textId="5752D2E5" w:rsidR="00F46843" w:rsidRPr="00953AFF" w:rsidRDefault="00F34DCB" w:rsidP="00953AFF">
      <w:pPr>
        <w:spacing w:after="0"/>
        <w:ind w:left="709" w:hanging="709"/>
        <w:jc w:val="both"/>
        <w:rPr>
          <w:rFonts w:cs="Times New Roman"/>
          <w:szCs w:val="24"/>
          <w:shd w:val="clear" w:color="auto" w:fill="FFFFFF"/>
        </w:rPr>
      </w:pPr>
      <w:r w:rsidRPr="009240DA">
        <w:rPr>
          <w:rFonts w:cs="Times New Roman"/>
          <w:szCs w:val="24"/>
          <w:shd w:val="clear" w:color="auto" w:fill="FFFFFF"/>
        </w:rPr>
        <w:t>Ley 1563 de 2012.</w:t>
      </w:r>
      <w:r w:rsidRPr="009240DA">
        <w:rPr>
          <w:rFonts w:cs="Times New Roman"/>
          <w:szCs w:val="24"/>
        </w:rPr>
        <w:t xml:space="preserve"> </w:t>
      </w:r>
      <w:r w:rsidRPr="009240DA">
        <w:rPr>
          <w:rFonts w:cs="Times New Roman"/>
          <w:szCs w:val="24"/>
          <w:shd w:val="clear" w:color="auto" w:fill="FFFFFF"/>
        </w:rPr>
        <w:t>(2012, 12 de julio). Congreso de la República. Diario oficial No. 48.483.</w:t>
      </w:r>
    </w:p>
    <w:p w14:paraId="137E6EBF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</w:rPr>
      </w:pPr>
      <w:r w:rsidRPr="009240DA">
        <w:rPr>
          <w:rFonts w:cs="Times New Roman"/>
          <w:szCs w:val="24"/>
        </w:rPr>
        <w:t xml:space="preserve">Ley 1340 de 2009. (2009, 24 de julio). Congreso de la Republica. Diario oficial </w:t>
      </w:r>
      <w:r w:rsidRPr="009240DA">
        <w:rPr>
          <w:rFonts w:cs="Times New Roman"/>
          <w:szCs w:val="24"/>
          <w:shd w:val="clear" w:color="auto" w:fill="FFFFFF"/>
        </w:rPr>
        <w:t>No 47.384.</w:t>
      </w:r>
    </w:p>
    <w:p w14:paraId="192AEC71" w14:textId="77777777" w:rsidR="008B0E98" w:rsidRPr="009240DA" w:rsidRDefault="008B0E98" w:rsidP="008E27EC">
      <w:pPr>
        <w:spacing w:after="0"/>
        <w:ind w:left="709" w:hanging="709"/>
        <w:jc w:val="both"/>
        <w:rPr>
          <w:rFonts w:cs="Times New Roman"/>
          <w:szCs w:val="24"/>
        </w:rPr>
      </w:pPr>
      <w:r w:rsidRPr="009240DA">
        <w:rPr>
          <w:rFonts w:cs="Times New Roman"/>
          <w:szCs w:val="24"/>
        </w:rPr>
        <w:t xml:space="preserve">Ley 155 de 1959. </w:t>
      </w:r>
      <w:r w:rsidR="00F34DCB" w:rsidRPr="009240DA">
        <w:rPr>
          <w:rFonts w:cs="Times New Roman"/>
          <w:szCs w:val="24"/>
        </w:rPr>
        <w:t>(1959, 24</w:t>
      </w:r>
      <w:r w:rsidR="00980C0F" w:rsidRPr="009240DA">
        <w:rPr>
          <w:rFonts w:cs="Times New Roman"/>
          <w:szCs w:val="24"/>
        </w:rPr>
        <w:t xml:space="preserve"> </w:t>
      </w:r>
      <w:r w:rsidR="00F34DCB" w:rsidRPr="009240DA">
        <w:rPr>
          <w:rFonts w:cs="Times New Roman"/>
          <w:szCs w:val="24"/>
        </w:rPr>
        <w:t xml:space="preserve">de diciembre). </w:t>
      </w:r>
      <w:r w:rsidR="00980C0F" w:rsidRPr="009240DA">
        <w:rPr>
          <w:rFonts w:cs="Times New Roman"/>
          <w:szCs w:val="24"/>
        </w:rPr>
        <w:t xml:space="preserve">Congreso de la Republica. </w:t>
      </w:r>
      <w:r w:rsidR="006A4B94" w:rsidRPr="009240DA">
        <w:rPr>
          <w:rFonts w:cs="Times New Roman"/>
          <w:szCs w:val="24"/>
          <w:shd w:val="clear" w:color="auto" w:fill="FFFFFF"/>
        </w:rPr>
        <w:t>D</w:t>
      </w:r>
      <w:r w:rsidR="00980C0F" w:rsidRPr="009240DA">
        <w:rPr>
          <w:rFonts w:cs="Times New Roman"/>
          <w:szCs w:val="24"/>
          <w:shd w:val="clear" w:color="auto" w:fill="FFFFFF"/>
        </w:rPr>
        <w:t>iario oficial</w:t>
      </w:r>
      <w:r w:rsidR="006A4B94" w:rsidRPr="009240DA">
        <w:rPr>
          <w:rFonts w:cs="Times New Roman"/>
          <w:szCs w:val="24"/>
          <w:shd w:val="clear" w:color="auto" w:fill="FFFFFF"/>
        </w:rPr>
        <w:t xml:space="preserve"> No 22.607.</w:t>
      </w:r>
    </w:p>
    <w:p w14:paraId="2558EAB2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López, H. (2012). </w:t>
      </w:r>
      <w:r w:rsidRPr="009240DA">
        <w:rPr>
          <w:rFonts w:cs="Times New Roman"/>
          <w:i/>
          <w:szCs w:val="24"/>
          <w:lang w:val="es-MX"/>
        </w:rPr>
        <w:t>Las partes en el Código General del Proceso</w:t>
      </w:r>
      <w:r w:rsidRPr="009240DA">
        <w:rPr>
          <w:rFonts w:cs="Times New Roman"/>
          <w:szCs w:val="24"/>
          <w:lang w:val="es-MX"/>
        </w:rPr>
        <w:t>. Editorial Dupre.</w:t>
      </w:r>
    </w:p>
    <w:p w14:paraId="39028BBE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lastRenderedPageBreak/>
        <w:t xml:space="preserve">Morales, H. (1977). </w:t>
      </w:r>
      <w:r w:rsidRPr="009240DA">
        <w:rPr>
          <w:rFonts w:cs="Times New Roman"/>
          <w:i/>
          <w:szCs w:val="24"/>
          <w:lang w:val="es-MX"/>
        </w:rPr>
        <w:t>Curso de Derecho Procesal Civil, parte General</w:t>
      </w:r>
      <w:r w:rsidRPr="009240DA">
        <w:rPr>
          <w:rFonts w:cs="Times New Roman"/>
          <w:szCs w:val="24"/>
          <w:lang w:val="es-MX"/>
        </w:rPr>
        <w:t xml:space="preserve"> (9ª ed.). Editorial ABC.</w:t>
      </w:r>
    </w:p>
    <w:p w14:paraId="5693198C" w14:textId="77777777" w:rsidR="00953AFF" w:rsidRPr="00142242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8E27EC">
        <w:rPr>
          <w:rStyle w:val="Hipervnculo"/>
          <w:rFonts w:cs="Times New Roman"/>
          <w:color w:val="auto"/>
          <w:szCs w:val="24"/>
          <w:u w:val="none"/>
          <w:lang w:val="es-MX"/>
        </w:rPr>
        <w:t>Ordóñez, P. (2013).</w:t>
      </w:r>
      <w:r w:rsidRPr="008E27EC">
        <w:rPr>
          <w:rFonts w:cs="Times New Roman"/>
          <w:szCs w:val="24"/>
        </w:rPr>
        <w:t xml:space="preserve"> </w:t>
      </w:r>
      <w:r w:rsidRPr="008E27EC">
        <w:rPr>
          <w:rStyle w:val="Hipervnculo"/>
          <w:rFonts w:cs="Times New Roman"/>
          <w:i/>
          <w:color w:val="auto"/>
          <w:szCs w:val="24"/>
          <w:u w:val="none"/>
          <w:lang w:val="es-MX"/>
        </w:rPr>
        <w:t>Validez y efectos de las cláusulas de limitación de responsabilidad en contratos de compraventa de acciones en Colombia.</w:t>
      </w:r>
      <w:r w:rsidRPr="008E27EC">
        <w:rPr>
          <w:rStyle w:val="Hipervnculo"/>
          <w:rFonts w:cs="Times New Roman"/>
          <w:color w:val="auto"/>
          <w:szCs w:val="24"/>
          <w:u w:val="none"/>
          <w:lang w:val="es-MX"/>
        </w:rPr>
        <w:t xml:space="preserve"> Revista de Derecho Privado, Universidad de los Ande</w:t>
      </w:r>
      <w:r>
        <w:rPr>
          <w:rStyle w:val="Hipervnculo"/>
          <w:rFonts w:cs="Times New Roman"/>
          <w:color w:val="auto"/>
          <w:szCs w:val="24"/>
          <w:u w:val="none"/>
          <w:lang w:val="es-MX"/>
        </w:rPr>
        <w:t xml:space="preserve">s. </w:t>
      </w:r>
      <w:hyperlink r:id="rId6" w:history="1">
        <w:r w:rsidRPr="00142242">
          <w:rPr>
            <w:rStyle w:val="Hipervnculo"/>
            <w:rFonts w:cs="Times New Roman"/>
            <w:bCs/>
            <w:color w:val="auto"/>
            <w:szCs w:val="24"/>
          </w:rPr>
          <w:t>https://repositorio.uniandes.edu.co/entities/publication/fea0203e-4998-4bbb-99d9-db508b307f91</w:t>
        </w:r>
      </w:hyperlink>
    </w:p>
    <w:p w14:paraId="6447FEC0" w14:textId="77777777" w:rsidR="00953AFF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142242">
        <w:rPr>
          <w:rFonts w:cs="Times New Roman"/>
          <w:szCs w:val="24"/>
          <w:lang w:val="es-MX"/>
        </w:rPr>
        <w:t xml:space="preserve">Pontificia Universidad Javeriana. (2024). </w:t>
      </w:r>
      <w:r w:rsidRPr="00142242">
        <w:rPr>
          <w:rFonts w:cs="Times New Roman"/>
          <w:i/>
          <w:szCs w:val="24"/>
          <w:lang w:val="es-MX"/>
        </w:rPr>
        <w:t>Caso hipotetico – Moot Court. Documento de trabajo de la Maestría en</w:t>
      </w:r>
      <w:r>
        <w:rPr>
          <w:rFonts w:cs="Times New Roman"/>
          <w:i/>
          <w:szCs w:val="24"/>
          <w:lang w:val="es-MX"/>
        </w:rPr>
        <w:t xml:space="preserve"> </w:t>
      </w:r>
      <w:r w:rsidRPr="00142242">
        <w:rPr>
          <w:rFonts w:cs="Times New Roman"/>
          <w:i/>
          <w:szCs w:val="24"/>
          <w:lang w:val="es-MX"/>
        </w:rPr>
        <w:t>Derecho empresarial.</w:t>
      </w:r>
      <w:r w:rsidRPr="00142242">
        <w:rPr>
          <w:rFonts w:cs="Times New Roman"/>
          <w:szCs w:val="24"/>
          <w:lang w:val="es-MX"/>
        </w:rPr>
        <w:t xml:space="preserve"> [Documento inédito]</w:t>
      </w:r>
      <w:r>
        <w:rPr>
          <w:rFonts w:cs="Times New Roman"/>
          <w:szCs w:val="24"/>
          <w:lang w:val="es-MX"/>
        </w:rPr>
        <w:t>.</w:t>
      </w:r>
    </w:p>
    <w:p w14:paraId="117B41C7" w14:textId="77777777" w:rsidR="00A460F7" w:rsidRPr="009240DA" w:rsidRDefault="00980C0F" w:rsidP="009240DA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8E27EC">
        <w:rPr>
          <w:rFonts w:cs="Times New Roman"/>
          <w:szCs w:val="24"/>
        </w:rPr>
        <w:t>Sentenci</w:t>
      </w:r>
      <w:r w:rsidR="00EA4D46">
        <w:rPr>
          <w:rFonts w:cs="Times New Roman"/>
          <w:szCs w:val="24"/>
        </w:rPr>
        <w:t>a</w:t>
      </w:r>
      <w:r w:rsidRPr="008E27EC">
        <w:rPr>
          <w:rFonts w:cs="Times New Roman"/>
          <w:szCs w:val="24"/>
        </w:rPr>
        <w:t xml:space="preserve"> C-602. (2019, 11 de diciembre). </w:t>
      </w:r>
      <w:r w:rsidR="0061305D" w:rsidRPr="008E27EC">
        <w:rPr>
          <w:rFonts w:cs="Times New Roman"/>
          <w:szCs w:val="24"/>
          <w:lang w:val="es-MX"/>
        </w:rPr>
        <w:t>Corte Constitucional de Colombia</w:t>
      </w:r>
      <w:r w:rsidRPr="008E27EC">
        <w:rPr>
          <w:rFonts w:cs="Times New Roman"/>
          <w:szCs w:val="24"/>
          <w:lang w:val="es-MX"/>
        </w:rPr>
        <w:t xml:space="preserve"> (</w:t>
      </w:r>
      <w:r w:rsidRPr="008E27EC">
        <w:rPr>
          <w:rFonts w:cs="Times New Roman"/>
          <w:szCs w:val="24"/>
        </w:rPr>
        <w:t xml:space="preserve">Alberto Rojas Ríos, </w:t>
      </w:r>
      <w:r w:rsidR="0061305D" w:rsidRPr="008E27EC">
        <w:rPr>
          <w:rFonts w:cs="Times New Roman"/>
          <w:szCs w:val="24"/>
        </w:rPr>
        <w:t>M.P</w:t>
      </w:r>
      <w:r w:rsidRPr="008E27EC">
        <w:rPr>
          <w:rFonts w:cs="Times New Roman"/>
          <w:szCs w:val="24"/>
        </w:rPr>
        <w:t>).</w:t>
      </w:r>
    </w:p>
    <w:p w14:paraId="7C4AE4F5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>Sentencia SU-174/07. (2007, 14 de marzo). Corte Constitucional de Colombia (Manuel José Cepeda Espinosa, M. P).</w:t>
      </w:r>
    </w:p>
    <w:p w14:paraId="409729AA" w14:textId="77777777" w:rsidR="00EA4D46" w:rsidRDefault="00EA4D46" w:rsidP="008E27EC">
      <w:pPr>
        <w:spacing w:after="0"/>
        <w:ind w:left="709" w:hanging="709"/>
        <w:jc w:val="both"/>
        <w:rPr>
          <w:rFonts w:cs="Times New Roman"/>
          <w:iCs/>
          <w:szCs w:val="24"/>
        </w:rPr>
      </w:pPr>
      <w:r w:rsidRPr="00EA4D46">
        <w:rPr>
          <w:rFonts w:cs="Times New Roman"/>
          <w:iCs/>
          <w:szCs w:val="24"/>
        </w:rPr>
        <w:t>S</w:t>
      </w:r>
      <w:r>
        <w:rPr>
          <w:rFonts w:cs="Times New Roman"/>
          <w:iCs/>
          <w:szCs w:val="24"/>
        </w:rPr>
        <w:t>entencia</w:t>
      </w:r>
      <w:r w:rsidRPr="00EA4D46">
        <w:rPr>
          <w:rFonts w:cs="Times New Roman"/>
          <w:iCs/>
          <w:szCs w:val="24"/>
        </w:rPr>
        <w:t xml:space="preserve"> 1997-04959</w:t>
      </w:r>
      <w:r>
        <w:rPr>
          <w:rFonts w:cs="Times New Roman"/>
          <w:iCs/>
          <w:szCs w:val="24"/>
        </w:rPr>
        <w:t xml:space="preserve">. (2013, 16 de diciembre). </w:t>
      </w:r>
      <w:r w:rsidRPr="008E27EC">
        <w:rPr>
          <w:rFonts w:cs="Times New Roman"/>
          <w:szCs w:val="24"/>
          <w:lang w:val="es-MX"/>
        </w:rPr>
        <w:t>Corte Constitucional de Colombia</w:t>
      </w:r>
      <w:r>
        <w:rPr>
          <w:rFonts w:cs="Times New Roman"/>
          <w:szCs w:val="24"/>
          <w:lang w:val="es-MX"/>
        </w:rPr>
        <w:t xml:space="preserve"> (</w:t>
      </w:r>
      <w:r w:rsidRPr="00EA4D46">
        <w:rPr>
          <w:rFonts w:cs="Times New Roman"/>
          <w:szCs w:val="24"/>
          <w:lang w:val="es-MX"/>
        </w:rPr>
        <w:t>Ariel Salazar Ramírez</w:t>
      </w:r>
      <w:r>
        <w:rPr>
          <w:rFonts w:cs="Times New Roman"/>
          <w:szCs w:val="24"/>
          <w:lang w:val="es-MX"/>
        </w:rPr>
        <w:t>, M.P).</w:t>
      </w:r>
    </w:p>
    <w:p w14:paraId="3FA27179" w14:textId="77777777" w:rsidR="00A460F7" w:rsidRPr="008E27EC" w:rsidRDefault="00000000" w:rsidP="008E27EC">
      <w:pPr>
        <w:spacing w:after="0"/>
        <w:jc w:val="both"/>
        <w:rPr>
          <w:rStyle w:val="Hipervnculo"/>
          <w:rFonts w:cs="Times New Roman"/>
          <w:color w:val="auto"/>
          <w:szCs w:val="24"/>
          <w:u w:val="none"/>
          <w:lang w:val="es-MX"/>
        </w:rPr>
      </w:pPr>
      <w:hyperlink r:id="rId7" w:history="1">
        <w:r w:rsidR="008E27EC" w:rsidRPr="008E27EC">
          <w:rPr>
            <w:rStyle w:val="Hipervnculo"/>
            <w:rFonts w:cs="Times New Roman"/>
            <w:color w:val="auto"/>
            <w:szCs w:val="24"/>
          </w:rPr>
          <w:t>https://indret.com/wp-content/themes/indret/pdf/736_es.pdf</w:t>
        </w:r>
      </w:hyperlink>
    </w:p>
    <w:p w14:paraId="0FC2E22D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</w:rPr>
      </w:pPr>
      <w:r w:rsidRPr="009240DA">
        <w:rPr>
          <w:rFonts w:cs="Times New Roman"/>
          <w:szCs w:val="24"/>
        </w:rPr>
        <w:t>Superintendencia de Industria y Comercio. (2021). Resolución 2751.</w:t>
      </w:r>
    </w:p>
    <w:p w14:paraId="26F53CCA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Tribunal Arbitral. (2020). </w:t>
      </w:r>
      <w:r w:rsidRPr="009240DA">
        <w:rPr>
          <w:rFonts w:cs="Times New Roman"/>
          <w:i/>
          <w:szCs w:val="24"/>
          <w:lang w:val="es-MX"/>
        </w:rPr>
        <w:t>Laudo entre Mercantil Galerazamba y Cía S.C.A. y Gabriel Hernán Rafael Echavarría Obregón</w:t>
      </w:r>
      <w:r w:rsidRPr="009240DA">
        <w:rPr>
          <w:rFonts w:cs="Times New Roman"/>
          <w:szCs w:val="24"/>
          <w:lang w:val="es-MX"/>
        </w:rPr>
        <w:t>. Cámara de Comercio de Bogotá.</w:t>
      </w:r>
    </w:p>
    <w:p w14:paraId="2929DE09" w14:textId="77777777" w:rsidR="00953AFF" w:rsidRPr="009240DA" w:rsidRDefault="00953AFF" w:rsidP="00953AFF">
      <w:pPr>
        <w:spacing w:after="0"/>
        <w:jc w:val="both"/>
        <w:rPr>
          <w:rFonts w:cs="Times New Roman"/>
          <w:szCs w:val="24"/>
          <w:lang w:val="es-MX"/>
        </w:rPr>
      </w:pPr>
      <w:hyperlink r:id="rId8" w:history="1">
        <w:r w:rsidRPr="009240DA">
          <w:rPr>
            <w:rStyle w:val="Hipervnculo"/>
            <w:rFonts w:cs="Times New Roman"/>
            <w:color w:val="auto"/>
            <w:szCs w:val="24"/>
            <w:lang w:val="es-MX"/>
          </w:rPr>
          <w:t>https://bibliotecadigital.ccb.org.co/items/43aaac75-66cb-4708-acc1-b290ec93988</w:t>
        </w:r>
      </w:hyperlink>
    </w:p>
    <w:p w14:paraId="4637D224" w14:textId="77777777" w:rsidR="00953AFF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Tribunal Arbitral. (2011). </w:t>
      </w:r>
      <w:r w:rsidRPr="009240DA">
        <w:rPr>
          <w:rFonts w:cs="Times New Roman"/>
          <w:i/>
          <w:szCs w:val="24"/>
          <w:lang w:val="es-MX"/>
        </w:rPr>
        <w:t>Balclin Investments S.l., Altra Inversiones Ltda, Mauricio Camargo Mejia y Dario Duran Echeverri</w:t>
      </w:r>
      <w:r w:rsidRPr="009240DA">
        <w:rPr>
          <w:rFonts w:cs="Times New Roman"/>
          <w:szCs w:val="24"/>
          <w:lang w:val="es-MX"/>
        </w:rPr>
        <w:t>.</w:t>
      </w:r>
      <w:r w:rsidRPr="009240DA">
        <w:rPr>
          <w:rFonts w:cs="Times New Roman"/>
          <w:iCs/>
          <w:szCs w:val="24"/>
        </w:rPr>
        <w:t xml:space="preserve"> </w:t>
      </w:r>
      <w:r w:rsidRPr="008E27EC">
        <w:rPr>
          <w:rFonts w:cs="Times New Roman"/>
          <w:iCs/>
          <w:szCs w:val="24"/>
        </w:rPr>
        <w:t>Recurso digital de la Cámara de Comercio de Bogotá</w:t>
      </w:r>
      <w:r w:rsidRPr="009240DA">
        <w:rPr>
          <w:rFonts w:cs="Times New Roman"/>
          <w:szCs w:val="24"/>
          <w:lang w:val="es-MX"/>
        </w:rPr>
        <w:t xml:space="preserve">. </w:t>
      </w:r>
    </w:p>
    <w:p w14:paraId="668584DE" w14:textId="77777777" w:rsidR="00953AFF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>
        <w:rPr>
          <w:rFonts w:cs="Times New Roman"/>
          <w:szCs w:val="24"/>
          <w:lang w:val="es-MX"/>
        </w:rPr>
        <w:t xml:space="preserve">       </w:t>
      </w:r>
      <w:r w:rsidRPr="009240DA">
        <w:rPr>
          <w:rFonts w:cs="Times New Roman"/>
          <w:szCs w:val="24"/>
          <w:lang w:val="es-MX"/>
        </w:rPr>
        <w:t xml:space="preserve">     </w:t>
      </w:r>
      <w:hyperlink r:id="rId9" w:history="1">
        <w:r w:rsidRPr="009240DA">
          <w:rPr>
            <w:rStyle w:val="Hipervnculo"/>
            <w:rFonts w:cs="Times New Roman"/>
            <w:color w:val="auto"/>
            <w:szCs w:val="24"/>
            <w:lang w:val="es-MX"/>
          </w:rPr>
          <w:t>https://bibliotecadigital.ccb.org.co/server/api/core/bitstreams/0a26733c-975b-43a5-a777-3774b94a41be/content</w:t>
        </w:r>
      </w:hyperlink>
    </w:p>
    <w:p w14:paraId="22376AE7" w14:textId="77777777" w:rsidR="00953AFF" w:rsidRPr="009240DA" w:rsidRDefault="00953AFF" w:rsidP="00953AFF">
      <w:pPr>
        <w:spacing w:after="0"/>
        <w:ind w:left="709" w:hanging="709"/>
        <w:jc w:val="both"/>
        <w:rPr>
          <w:rFonts w:cs="Times New Roman"/>
          <w:szCs w:val="24"/>
          <w:lang w:val="es-MX"/>
        </w:rPr>
      </w:pPr>
      <w:r w:rsidRPr="009240DA">
        <w:rPr>
          <w:rFonts w:cs="Times New Roman"/>
          <w:szCs w:val="24"/>
          <w:lang w:val="es-MX"/>
        </w:rPr>
        <w:t xml:space="preserve">Valdés, R. (1998). </w:t>
      </w:r>
      <w:r w:rsidRPr="009240DA">
        <w:rPr>
          <w:rFonts w:cs="Times New Roman"/>
          <w:i/>
          <w:szCs w:val="24"/>
          <w:lang w:val="es-MX"/>
        </w:rPr>
        <w:t>La transacción</w:t>
      </w:r>
      <w:r w:rsidRPr="009240DA">
        <w:rPr>
          <w:rFonts w:cs="Times New Roman"/>
          <w:szCs w:val="24"/>
          <w:lang w:val="es-MX"/>
        </w:rPr>
        <w:t xml:space="preserve"> (2.ª ed.). Editorial Legis.</w:t>
      </w:r>
    </w:p>
    <w:p w14:paraId="2DF33402" w14:textId="77777777" w:rsidR="00EA4D46" w:rsidRPr="00EA4D46" w:rsidRDefault="00EA4D46" w:rsidP="00EA4D46">
      <w:pPr>
        <w:spacing w:after="0"/>
        <w:ind w:left="709" w:hanging="709"/>
        <w:jc w:val="both"/>
        <w:rPr>
          <w:rFonts w:cs="Times New Roman"/>
          <w:i/>
          <w:szCs w:val="24"/>
          <w:lang w:val="es-MX"/>
        </w:rPr>
      </w:pPr>
    </w:p>
    <w:sectPr w:rsidR="00EA4D46" w:rsidRPr="00EA4D46" w:rsidSect="00B949C6">
      <w:pgSz w:w="12240" w:h="15840" w:code="1"/>
      <w:pgMar w:top="1701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9C6"/>
    <w:rsid w:val="000D2559"/>
    <w:rsid w:val="00142242"/>
    <w:rsid w:val="001848FB"/>
    <w:rsid w:val="0019460B"/>
    <w:rsid w:val="001B42DE"/>
    <w:rsid w:val="001F187F"/>
    <w:rsid w:val="00252322"/>
    <w:rsid w:val="002B4924"/>
    <w:rsid w:val="0039565C"/>
    <w:rsid w:val="003C0431"/>
    <w:rsid w:val="00451705"/>
    <w:rsid w:val="00454806"/>
    <w:rsid w:val="004C3B73"/>
    <w:rsid w:val="00520591"/>
    <w:rsid w:val="00552501"/>
    <w:rsid w:val="0061305D"/>
    <w:rsid w:val="006453BC"/>
    <w:rsid w:val="006A4B94"/>
    <w:rsid w:val="006B1215"/>
    <w:rsid w:val="00764363"/>
    <w:rsid w:val="007A229F"/>
    <w:rsid w:val="007E1DB7"/>
    <w:rsid w:val="008806CC"/>
    <w:rsid w:val="008B0E98"/>
    <w:rsid w:val="008E27EC"/>
    <w:rsid w:val="009240DA"/>
    <w:rsid w:val="009472D3"/>
    <w:rsid w:val="00951131"/>
    <w:rsid w:val="00953AFF"/>
    <w:rsid w:val="00980C0F"/>
    <w:rsid w:val="00981F42"/>
    <w:rsid w:val="00A460F7"/>
    <w:rsid w:val="00B72162"/>
    <w:rsid w:val="00B949C6"/>
    <w:rsid w:val="00BD4F1C"/>
    <w:rsid w:val="00C175DB"/>
    <w:rsid w:val="00DF7279"/>
    <w:rsid w:val="00E31869"/>
    <w:rsid w:val="00EA4D46"/>
    <w:rsid w:val="00F34DCB"/>
    <w:rsid w:val="00F46843"/>
    <w:rsid w:val="00F513EE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E5C1"/>
  <w15:chartTrackingRefBased/>
  <w15:docId w15:val="{EE8C0DEA-9FBC-44DF-92D8-EF031E75E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333"/>
    <w:pPr>
      <w:spacing w:line="360" w:lineRule="auto"/>
      <w:ind w:firstLine="709"/>
    </w:pPr>
    <w:rPr>
      <w:rFonts w:ascii="Times New Roman" w:hAnsi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460F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46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tecadigital.ccb.org.co/items/43aaac75-66cb-4708-acc1-b290ec93988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indret.com/wp-content/themes/indret/pdf/736_es.pdf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epositorio.uniandes.edu.co/entities/publication/fea0203e-4998-4bbb-99d9-db508b307f9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ibliotecadigital.ccb.org.co/handle/11520/2169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bliotecadigital.ccb.org.co/server/api/core/bitstreams/0a26733c-975b-43a5-a777-3774b94a41be/content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8F4239050242D4A8575FAE12543B59F" ma:contentTypeVersion="15" ma:contentTypeDescription="Crear nuevo documento." ma:contentTypeScope="" ma:versionID="0566b731ccebcefcbdc56953d62f1e8d">
  <xsd:schema xmlns:xsd="http://www.w3.org/2001/XMLSchema" xmlns:xs="http://www.w3.org/2001/XMLSchema" xmlns:p="http://schemas.microsoft.com/office/2006/metadata/properties" xmlns:ns2="618e050f-fb3e-4cc6-ac40-a1b6fff41217" xmlns:ns3="6e91f0c7-edc1-40ea-8a38-15f8c58fa540" xmlns:ns4="cbb53a27-70b1-4457-a7de-4bbc6fdd1bae" targetNamespace="http://schemas.microsoft.com/office/2006/metadata/properties" ma:root="true" ma:fieldsID="25c8049c364acc9ed0c9a03f7bf1af14" ns2:_="" ns3:_="" ns4:_="">
    <xsd:import namespace="618e050f-fb3e-4cc6-ac40-a1b6fff41217"/>
    <xsd:import namespace="6e91f0c7-edc1-40ea-8a38-15f8c58fa540"/>
    <xsd:import namespace="cbb53a27-70b1-4457-a7de-4bbc6fdd1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e050f-fb3e-4cc6-ac40-a1b6fff412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47ec1249-a48c-4968-bfb0-a566660bd3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1f0c7-edc1-40ea-8a38-15f8c58fa5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53a27-70b1-4457-a7de-4bbc6fdd1ba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4747e47-34f6-4ac2-b0b4-d879b87c96be}" ma:internalName="TaxCatchAll" ma:showField="CatchAllData" ma:web="cbb53a27-70b1-4457-a7de-4bbc6fdd1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8e050f-fb3e-4cc6-ac40-a1b6fff41217">
      <Terms xmlns="http://schemas.microsoft.com/office/infopath/2007/PartnerControls"/>
    </lcf76f155ced4ddcb4097134ff3c332f>
    <TaxCatchAll xmlns="cbb53a27-70b1-4457-a7de-4bbc6fdd1bae" xsi:nil="true"/>
  </documentManagement>
</p:properties>
</file>

<file path=customXml/itemProps1.xml><?xml version="1.0" encoding="utf-8"?>
<ds:datastoreItem xmlns:ds="http://schemas.openxmlformats.org/officeDocument/2006/customXml" ds:itemID="{0CF9AD34-73A3-4B9D-8782-7EEA0DF0D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A99884-4576-4B7E-ADE1-0C37C72AA074}"/>
</file>

<file path=customXml/itemProps3.xml><?xml version="1.0" encoding="utf-8"?>
<ds:datastoreItem xmlns:ds="http://schemas.openxmlformats.org/officeDocument/2006/customXml" ds:itemID="{C0F72A7F-A035-4D8C-8408-EC38E732131B}"/>
</file>

<file path=customXml/itemProps4.xml><?xml version="1.0" encoding="utf-8"?>
<ds:datastoreItem xmlns:ds="http://schemas.openxmlformats.org/officeDocument/2006/customXml" ds:itemID="{4CD3A79B-5FBF-4F36-80E1-EED16FFDB4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2</Pages>
  <Words>587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Latorre Viloria</dc:creator>
  <cp:keywords/>
  <dc:description/>
  <cp:lastModifiedBy>luigi lenis</cp:lastModifiedBy>
  <cp:revision>7</cp:revision>
  <dcterms:created xsi:type="dcterms:W3CDTF">2024-04-21T21:35:00Z</dcterms:created>
  <dcterms:modified xsi:type="dcterms:W3CDTF">2024-04-23T04:02:00Z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0x01010038F4239050242D4A8575FAE12543B59F</vt:lpwstr>
  </property>
</Properties>
</file>